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A9" w:rsidRPr="00E56C22" w:rsidRDefault="00292FA9" w:rsidP="00E56C2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результатах деятельности Контрольно-счетной палаты городского округа Чехов за 9 месяцев 2022 года</w:t>
      </w:r>
    </w:p>
    <w:p w:rsidR="00292FA9" w:rsidRPr="00E56C22" w:rsidRDefault="00292FA9" w:rsidP="00E56C2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FA9" w:rsidRPr="00E56C22" w:rsidRDefault="00292FA9" w:rsidP="00E56C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Контрольно-счётной палаты городского округа Чехов на 9 месяцев 2022 года сформирован с учетом предложений Главы городского округа, поручений Совета д</w:t>
      </w:r>
      <w:bookmarkStart w:id="0" w:name="_GoBack"/>
      <w:bookmarkEnd w:id="0"/>
      <w:r w:rsidRPr="00E5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 городского округа, обращений Чеховской городской Прокуратуры, граждан городского округа, утвержден распоряжением Председателя Контрольно-счётной палаты и размещен на официальном сайте. В своей деятельности Контрольно-счетная палата городского округа Чехов руководствуется правовыми актами Российской Федерации, Московской области, городского округа Чехов, планом работы Контрольно-счетной палаты городского округа Чехов на 2022 год.</w:t>
      </w:r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5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Контрольно-счётной палатой </w:t>
      </w:r>
      <w:r w:rsidRPr="00E5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проведено </w:t>
      </w:r>
      <w:r w:rsidRPr="00E56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16 </w:t>
      </w:r>
      <w:r w:rsidRPr="00E5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мероприятий, в том числе </w:t>
      </w:r>
      <w:r w:rsidRPr="00E56C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E56C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контрольных и </w:t>
      </w:r>
      <w:r w:rsidRPr="00E56C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56C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экспертно-аналитических.</w:t>
      </w:r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утвержденного плана работы Контрольно-счётной палаты городского округа Чехов за 9 месяцев 2022 года проведено:</w:t>
      </w:r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(в том числе </w:t>
      </w:r>
      <w:r w:rsidRPr="00E5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мероприятий, </w:t>
      </w:r>
      <w:r w:rsidRPr="00E5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мероприятий) в соответствии с полномочиями Контрольно-счётной палаты городского округа Чехов, </w:t>
      </w:r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по обращению граждан Российской Федерации;</w:t>
      </w:r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по обращению правоохранительного органа.</w:t>
      </w:r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деятельности Контрольно-счётной палаты городского округа Чехов за 9 месяцев 2022 года представлены в таблице 1.</w:t>
      </w:r>
    </w:p>
    <w:p w:rsidR="00292FA9" w:rsidRPr="00E56C22" w:rsidRDefault="00292FA9" w:rsidP="00E56C22">
      <w:pPr>
        <w:spacing w:after="12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1" w:name="_Toc95139213"/>
      <w:bookmarkStart w:id="2" w:name="_Toc95146912"/>
      <w:bookmarkStart w:id="3" w:name="_Toc95146964"/>
      <w:r w:rsidRPr="00E56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</w:t>
      </w:r>
      <w:bookmarkEnd w:id="1"/>
      <w:bookmarkEnd w:id="2"/>
      <w:bookmarkEnd w:id="3"/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81"/>
        <w:gridCol w:w="1417"/>
      </w:tblGrid>
      <w:tr w:rsidR="00292FA9" w:rsidRPr="00E56C22" w:rsidTr="00610864">
        <w:trPr>
          <w:cantSplit/>
          <w:trHeight w:val="510"/>
        </w:trPr>
        <w:tc>
          <w:tcPr>
            <w:tcW w:w="4254" w:type="pct"/>
            <w:shd w:val="clear" w:color="auto" w:fill="auto"/>
            <w:vAlign w:val="center"/>
            <w:hideMark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46" w:type="pct"/>
          </w:tcPr>
          <w:p w:rsidR="00292FA9" w:rsidRPr="00E56C22" w:rsidRDefault="00292FA9" w:rsidP="00E56C22">
            <w:pPr>
              <w:spacing w:after="0" w:line="360" w:lineRule="auto"/>
              <w:ind w:left="-391" w:right="-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</w:t>
            </w:r>
          </w:p>
          <w:p w:rsidR="00292FA9" w:rsidRPr="00E56C22" w:rsidRDefault="00292FA9" w:rsidP="00E56C22">
            <w:pPr>
              <w:spacing w:after="0" w:line="360" w:lineRule="auto"/>
              <w:ind w:left="-391" w:right="-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показателя</w:t>
            </w:r>
          </w:p>
        </w:tc>
      </w:tr>
      <w:tr w:rsidR="00292FA9" w:rsidRPr="00E56C22" w:rsidTr="00610864">
        <w:trPr>
          <w:cantSplit/>
          <w:trHeight w:val="13"/>
        </w:trPr>
        <w:tc>
          <w:tcPr>
            <w:tcW w:w="4254" w:type="pct"/>
            <w:shd w:val="clear" w:color="auto" w:fill="auto"/>
            <w:vAlign w:val="center"/>
            <w:hideMark/>
          </w:tcPr>
          <w:p w:rsidR="00292FA9" w:rsidRPr="00E56C22" w:rsidRDefault="00292FA9" w:rsidP="00E56C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проверенных объектов (органов и учреждений) (ед.)</w:t>
            </w:r>
          </w:p>
        </w:tc>
        <w:tc>
          <w:tcPr>
            <w:tcW w:w="746" w:type="pct"/>
            <w:vAlign w:val="center"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92FA9" w:rsidRPr="00E56C22" w:rsidTr="00610864">
        <w:trPr>
          <w:cantSplit/>
          <w:trHeight w:val="364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FA9" w:rsidRPr="00E56C22" w:rsidRDefault="00292FA9" w:rsidP="00E56C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выявленных нарушений по результатам контрольных и экспертно-аналитических мероприятий (ед.)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</w:tr>
      <w:tr w:rsidR="00292FA9" w:rsidRPr="00E56C22" w:rsidTr="00610864">
        <w:trPr>
          <w:cantSplit/>
          <w:trHeight w:val="458"/>
        </w:trPr>
        <w:tc>
          <w:tcPr>
            <w:tcW w:w="4254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292FA9" w:rsidRPr="00E56C22" w:rsidRDefault="00292FA9" w:rsidP="00E56C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подготовленных материалов (актов, отчетов, заключений) по результатам контрольных и экспертно-аналитических мероприятий (ед.)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92FA9" w:rsidRPr="00E56C22" w:rsidTr="00610864">
        <w:trPr>
          <w:cantSplit/>
          <w:trHeight w:val="154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FA9" w:rsidRPr="00E56C22" w:rsidRDefault="00292FA9" w:rsidP="00E56C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предписаний и представлений, направленных проверяемым органам и организациям (ед.)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2FA9" w:rsidRPr="00E56C22" w:rsidTr="00610864">
        <w:trPr>
          <w:cantSplit/>
          <w:trHeight w:val="387"/>
        </w:trPr>
        <w:tc>
          <w:tcPr>
            <w:tcW w:w="4254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292FA9" w:rsidRPr="00E56C22" w:rsidRDefault="00292FA9" w:rsidP="00E56C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предложений в предписаниях и представлениях (ед.), направленных в ходе контрольных и экспертно-аналитических мероприятий проверяемым органам и организациям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292FA9" w:rsidRPr="00E56C22" w:rsidTr="00610864">
        <w:trPr>
          <w:cantSplit/>
          <w:trHeight w:val="423"/>
        </w:trPr>
        <w:tc>
          <w:tcPr>
            <w:tcW w:w="4254" w:type="pct"/>
            <w:shd w:val="clear" w:color="000000" w:fill="FFFFFF"/>
          </w:tcPr>
          <w:p w:rsidR="00292FA9" w:rsidRPr="00E56C22" w:rsidRDefault="00292FA9" w:rsidP="00E56C2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предложений по внесению изменений в нормативные правовые акты муниципального образования по предложениям Контрольно-счётной палаты (ед.)</w:t>
            </w:r>
          </w:p>
        </w:tc>
        <w:tc>
          <w:tcPr>
            <w:tcW w:w="746" w:type="pct"/>
            <w:shd w:val="clear" w:color="000000" w:fill="FFFFFF"/>
            <w:vAlign w:val="center"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2FA9" w:rsidRPr="00E56C22" w:rsidTr="00610864">
        <w:trPr>
          <w:cantSplit/>
          <w:trHeight w:val="303"/>
        </w:trPr>
        <w:tc>
          <w:tcPr>
            <w:tcW w:w="4254" w:type="pct"/>
            <w:shd w:val="clear" w:color="000000" w:fill="FFFFFF"/>
            <w:hideMark/>
          </w:tcPr>
          <w:p w:rsidR="00292FA9" w:rsidRPr="00E56C22" w:rsidRDefault="00292FA9" w:rsidP="00E56C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составленных Контрольно-счётной палатой городского округа Чехов  и направленных в суды протоколов об административных правонарушениях (ед.)</w:t>
            </w:r>
          </w:p>
        </w:tc>
        <w:tc>
          <w:tcPr>
            <w:tcW w:w="746" w:type="pct"/>
            <w:shd w:val="clear" w:color="000000" w:fill="FFFFFF"/>
            <w:vAlign w:val="center"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92FA9" w:rsidRPr="00E56C22" w:rsidTr="00610864">
        <w:trPr>
          <w:cantSplit/>
          <w:trHeight w:val="20"/>
        </w:trPr>
        <w:tc>
          <w:tcPr>
            <w:tcW w:w="4254" w:type="pct"/>
            <w:shd w:val="clear" w:color="auto" w:fill="auto"/>
            <w:vAlign w:val="center"/>
          </w:tcPr>
          <w:p w:rsidR="00292FA9" w:rsidRPr="00E56C22" w:rsidRDefault="00292FA9" w:rsidP="00E56C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информационных писем, направленных в Совет депутатов муниципального образования по результатам экспертно-аналитических и контрольных мероприятий, всего (ед.)</w:t>
            </w:r>
          </w:p>
        </w:tc>
        <w:tc>
          <w:tcPr>
            <w:tcW w:w="746" w:type="pct"/>
            <w:vAlign w:val="center"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92FA9" w:rsidRPr="00E56C22" w:rsidTr="00610864">
        <w:trPr>
          <w:cantSplit/>
          <w:trHeight w:val="20"/>
        </w:trPr>
        <w:tc>
          <w:tcPr>
            <w:tcW w:w="4254" w:type="pct"/>
            <w:shd w:val="clear" w:color="auto" w:fill="auto"/>
          </w:tcPr>
          <w:p w:rsidR="00292FA9" w:rsidRPr="00E56C22" w:rsidRDefault="00292FA9" w:rsidP="00E56C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информационных писем, направленных </w:t>
            </w:r>
            <w:r w:rsidRPr="00E56C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Главе городского округа и его заместителям</w:t>
            </w: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результатам контрольных и экспертно-аналитических мероприятий (ед.)</w:t>
            </w:r>
          </w:p>
        </w:tc>
        <w:tc>
          <w:tcPr>
            <w:tcW w:w="746" w:type="pct"/>
            <w:vAlign w:val="center"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92FA9" w:rsidRPr="00E56C22" w:rsidTr="00610864">
        <w:trPr>
          <w:cantSplit/>
          <w:trHeight w:val="20"/>
        </w:trPr>
        <w:tc>
          <w:tcPr>
            <w:tcW w:w="4254" w:type="pct"/>
            <w:shd w:val="clear" w:color="auto" w:fill="auto"/>
          </w:tcPr>
          <w:p w:rsidR="00292FA9" w:rsidRPr="00E56C22" w:rsidRDefault="00292FA9" w:rsidP="00E56C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материалов, переданных в Чеховскую городскую прокуратуру по результатам контрольных и экспертно-аналитических мероприятий (в том числе по запросам) всего (ед.)</w:t>
            </w:r>
          </w:p>
        </w:tc>
        <w:tc>
          <w:tcPr>
            <w:tcW w:w="746" w:type="pct"/>
            <w:vAlign w:val="center"/>
          </w:tcPr>
          <w:p w:rsidR="00292FA9" w:rsidRPr="00E56C22" w:rsidRDefault="00292FA9" w:rsidP="00E56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92FA9" w:rsidRPr="00E56C22" w:rsidRDefault="00292FA9" w:rsidP="00E56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подготовлено </w:t>
      </w:r>
      <w:r w:rsidRPr="00E5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и </w:t>
      </w:r>
      <w:r w:rsidRPr="00E5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Заключений. Материалы о проведенных мероприятиях направлялись в адрес </w:t>
      </w:r>
      <w:r w:rsidRPr="00E56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Главы городского округа,</w:t>
      </w:r>
      <w:r w:rsidRPr="00E56C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округа Чехов, Чеховской городской прокуратуры. Представления и информационные письма с предложениями по устранению выявленных нарушений и недостатков — в адрес руководителей объектов проверки. </w:t>
      </w:r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A9" w:rsidRPr="00E56C22" w:rsidRDefault="00292FA9" w:rsidP="00E56C22">
      <w:pPr>
        <w:keepNext/>
        <w:numPr>
          <w:ilvl w:val="1"/>
          <w:numId w:val="1"/>
        </w:numPr>
        <w:tabs>
          <w:tab w:val="left" w:pos="567"/>
        </w:tabs>
        <w:spacing w:before="240" w:after="36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283044"/>
      <w:bookmarkStart w:id="5" w:name="_Toc95146965"/>
      <w:r w:rsidRPr="00E5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  <w:bookmarkEnd w:id="4"/>
      <w:bookmarkEnd w:id="5"/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9 месяцев 2022 года экспертно-аналитическая деятельность Контрольно-счетной палаты городского округа Чехов была направлена на обеспечение контроля за формированием и исполнением бюджета городского округа Чехов.</w:t>
      </w:r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Pr="00E56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5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экспертно-аналитических мероприятий, в том числе:</w:t>
      </w:r>
    </w:p>
    <w:p w:rsidR="00292FA9" w:rsidRPr="00E56C22" w:rsidRDefault="00292FA9" w:rsidP="00E56C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2 мероприятия по мониторингу исполнения бюджета городского округа Чехов;</w:t>
      </w:r>
    </w:p>
    <w:p w:rsidR="00292FA9" w:rsidRPr="00E56C22" w:rsidRDefault="00292FA9" w:rsidP="00E56C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1 мероприятие по внешней проверке годового отчета об исполнении бюджета муниципального образования за 2021 год;</w:t>
      </w:r>
    </w:p>
    <w:p w:rsidR="00292FA9" w:rsidRPr="00E56C22" w:rsidRDefault="00292FA9" w:rsidP="00E56C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4 мероприятия по экспертизе проектов решений о внесении изменений в решение о бюджете городского округа Чехов.</w:t>
      </w:r>
    </w:p>
    <w:p w:rsidR="00292FA9" w:rsidRDefault="00292FA9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экспертно-аналитических мероприятий в адрес объектов было направлено </w:t>
      </w:r>
      <w:r w:rsidRPr="00E56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E56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Контрольно-счётной палаты городского округа Чехов, содержащее </w:t>
      </w:r>
      <w:r w:rsidRPr="00E56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E56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требований. Информационные материалы с отражением результатов экспертиз направлены в адрес </w:t>
      </w:r>
      <w:r w:rsidRPr="00E56C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Главы городского округа (</w:t>
      </w:r>
      <w:r w:rsidRPr="00E56C2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3</w:t>
      </w:r>
      <w:r w:rsidRPr="00E56C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ед.),</w:t>
      </w:r>
      <w:r w:rsidRPr="00E56C2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56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городского округа Чехов (</w:t>
      </w:r>
      <w:r w:rsidRPr="00E56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E56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ед.). В отчетном периоде выполнено 8 из 10 требований, предложений и замечаний, 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отмеченных в представлениях и информационных письмах Контрольно-счётной палаты</w:t>
      </w:r>
      <w:r w:rsidRPr="00E56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Чехов, на контроле остаются 2 требования в рамках экспертно-аналитической деятельности. </w:t>
      </w:r>
    </w:p>
    <w:p w:rsidR="00E56C22" w:rsidRDefault="00E56C22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C22" w:rsidRDefault="00E56C22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C22" w:rsidRPr="00E56C22" w:rsidRDefault="00E56C22" w:rsidP="00E5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FA9" w:rsidRPr="00E56C22" w:rsidRDefault="00292FA9" w:rsidP="00E56C2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FA9" w:rsidRPr="00E56C22" w:rsidRDefault="00292FA9" w:rsidP="00E56C22">
      <w:pPr>
        <w:numPr>
          <w:ilvl w:val="1"/>
          <w:numId w:val="1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C22">
        <w:rPr>
          <w:rFonts w:ascii="Times New Roman" w:eastAsia="Calibri" w:hAnsi="Times New Roman" w:cs="Times New Roman"/>
          <w:b/>
          <w:sz w:val="28"/>
          <w:szCs w:val="28"/>
        </w:rPr>
        <w:t>Контрольная деятельность</w:t>
      </w:r>
    </w:p>
    <w:p w:rsidR="00292FA9" w:rsidRPr="00E56C22" w:rsidRDefault="00292FA9" w:rsidP="00E56C22">
      <w:pPr>
        <w:spacing w:line="360" w:lineRule="auto"/>
        <w:ind w:left="1288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92FA9" w:rsidRPr="00E56C22" w:rsidRDefault="00292FA9" w:rsidP="00E56C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планом работы, Контрольно-счётной палатой</w:t>
      </w:r>
      <w:r w:rsidRPr="00E56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6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городского округа Чехов за 9 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месяцев 2022 года проведено 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 по 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объектам контроля.</w:t>
      </w:r>
    </w:p>
    <w:p w:rsidR="00292FA9" w:rsidRPr="00E56C22" w:rsidRDefault="00292FA9" w:rsidP="00E56C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 выявленных за 9 месяцев 2022 года нарушениях и недостатках при проведении Контрольно-счётной палатой городского округа Чехов контрольных и экспертно-аналитических мероприятий представлены </w:t>
      </w:r>
      <w:r w:rsidRPr="00E56C22">
        <w:rPr>
          <w:rFonts w:ascii="Times New Roman" w:eastAsia="Calibri" w:hAnsi="Times New Roman" w:cs="Times New Roman"/>
          <w:sz w:val="28"/>
          <w:szCs w:val="28"/>
        </w:rPr>
        <w:t>н</w:t>
      </w:r>
      <w:r w:rsidR="00665D95" w:rsidRPr="00E56C22">
        <w:rPr>
          <w:rFonts w:ascii="Times New Roman" w:eastAsia="Calibri" w:hAnsi="Times New Roman" w:cs="Times New Roman"/>
          <w:sz w:val="28"/>
          <w:szCs w:val="28"/>
        </w:rPr>
        <w:t>а диаграмме 1</w:t>
      </w:r>
      <w:r w:rsidRPr="00E56C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FA9" w:rsidRPr="00E56C22" w:rsidRDefault="00665D95" w:rsidP="00E56C22">
      <w:pPr>
        <w:spacing w:line="36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56C22">
        <w:rPr>
          <w:rFonts w:ascii="Times New Roman" w:eastAsia="Calibri" w:hAnsi="Times New Roman" w:cs="Times New Roman"/>
          <w:sz w:val="28"/>
          <w:szCs w:val="28"/>
        </w:rPr>
        <w:t>Диаграмма 1</w:t>
      </w:r>
      <w:r w:rsidR="00292FA9" w:rsidRPr="00E56C22">
        <w:rPr>
          <w:rFonts w:ascii="Times New Roman" w:eastAsia="Calibri" w:hAnsi="Times New Roman" w:cs="Times New Roman"/>
          <w:sz w:val="28"/>
          <w:szCs w:val="28"/>
        </w:rPr>
        <w:t>(ед.)</w:t>
      </w:r>
    </w:p>
    <w:p w:rsidR="00292FA9" w:rsidRPr="00E56C22" w:rsidRDefault="00292FA9" w:rsidP="00E56C2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EFA47" wp14:editId="46645EEB">
            <wp:extent cx="5940425" cy="154305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2FA9" w:rsidRPr="00E56C22" w:rsidRDefault="00292FA9" w:rsidP="00E56C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C22">
        <w:rPr>
          <w:rFonts w:ascii="Times New Roman" w:eastAsia="Calibri" w:hAnsi="Times New Roman" w:cs="Times New Roman"/>
          <w:sz w:val="28"/>
          <w:szCs w:val="28"/>
        </w:rPr>
        <w:t>Анализ вышеуказанных нарушений в количественном выражении показал следующее:</w:t>
      </w:r>
    </w:p>
    <w:p w:rsidR="00292FA9" w:rsidRPr="00E56C22" w:rsidRDefault="00292FA9" w:rsidP="00E56C22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>67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единиц (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>47,5 %)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665D95" w:rsidRPr="00E56C22">
        <w:rPr>
          <w:rFonts w:ascii="Times New Roman" w:eastAsia="Calibri" w:hAnsi="Times New Roman" w:cs="Times New Roman"/>
          <w:sz w:val="28"/>
          <w:szCs w:val="28"/>
        </w:rPr>
        <w:t xml:space="preserve">рушений в отчетном году выявлено </w:t>
      </w:r>
      <w:r w:rsidRPr="00E56C22">
        <w:rPr>
          <w:rFonts w:ascii="Times New Roman" w:eastAsia="Calibri" w:hAnsi="Times New Roman" w:cs="Times New Roman"/>
          <w:sz w:val="28"/>
          <w:szCs w:val="28"/>
        </w:rPr>
        <w:t>при формировании и исполнении бюджета;</w:t>
      </w:r>
    </w:p>
    <w:p w:rsidR="00292FA9" w:rsidRPr="00E56C22" w:rsidRDefault="00292FA9" w:rsidP="00E56C22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единица (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>24,8 %)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выявленных нарушений законодательства занимают нарушения при осуще</w:t>
      </w:r>
      <w:r w:rsidR="00665D95" w:rsidRPr="00E56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ствлении муниципальных закупок;</w:t>
      </w:r>
    </w:p>
    <w:p w:rsidR="00292FA9" w:rsidRPr="00E56C22" w:rsidRDefault="00292FA9" w:rsidP="00E56C22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единиц 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>(20,6 %)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</w:t>
      </w:r>
      <w:r w:rsidR="00665D95" w:rsidRPr="00E56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 нарушения законодательства РФ</w:t>
      </w:r>
      <w:r w:rsidRPr="00E56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части нарушения правил осуществления внутреннего финансового контроля и внутреннего финансового аудита;</w:t>
      </w:r>
    </w:p>
    <w:p w:rsidR="00292FA9" w:rsidRPr="00E56C22" w:rsidRDefault="00292FA9" w:rsidP="00E56C22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единиц 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>(6,4 %)</w:t>
      </w:r>
      <w:r w:rsidR="00665D95" w:rsidRPr="00E56C22">
        <w:rPr>
          <w:rFonts w:ascii="Times New Roman" w:eastAsia="Calibri" w:hAnsi="Times New Roman" w:cs="Times New Roman"/>
          <w:sz w:val="28"/>
          <w:szCs w:val="28"/>
        </w:rPr>
        <w:t xml:space="preserve"> выявленных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нарушений в вопросах ведения бухгалтерского учета, составления и представления бухгалтерской (финансовой) отчетности;</w:t>
      </w:r>
    </w:p>
    <w:p w:rsidR="00292FA9" w:rsidRPr="00E56C22" w:rsidRDefault="00292FA9" w:rsidP="00E56C22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6C22">
        <w:rPr>
          <w:rFonts w:ascii="Times New Roman" w:eastAsia="Calibri" w:hAnsi="Times New Roman" w:cs="Times New Roman"/>
          <w:b/>
          <w:sz w:val="28"/>
          <w:szCs w:val="28"/>
        </w:rPr>
        <w:t>- 1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единица</w:t>
      </w:r>
      <w:r w:rsidRPr="00E56C22">
        <w:rPr>
          <w:rFonts w:ascii="Times New Roman" w:eastAsia="Calibri" w:hAnsi="Times New Roman" w:cs="Times New Roman"/>
          <w:b/>
          <w:sz w:val="28"/>
          <w:szCs w:val="28"/>
        </w:rPr>
        <w:t xml:space="preserve"> (0,7 %)</w:t>
      </w:r>
      <w:r w:rsidRPr="00E56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C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нарушения в сфере управления и распоряжения муниципальной собственностью в части несоблюдения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прекращения.</w:t>
      </w:r>
    </w:p>
    <w:p w:rsidR="00292FA9" w:rsidRPr="00E56C22" w:rsidRDefault="00292FA9" w:rsidP="00E56C22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6C2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="009E0EDF" w:rsidRPr="00E56C2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Pr="00E56C2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56C22">
        <w:rPr>
          <w:rFonts w:ascii="Times New Roman" w:eastAsia="Calibri" w:hAnsi="Times New Roman" w:cs="Times New Roman"/>
          <w:sz w:val="28"/>
          <w:szCs w:val="28"/>
        </w:rPr>
        <w:t>Выявленные нарушения и недостатки отражены в Актах Контрольно-счетной палаты городского округа Чехов по итогам мероприятий, информация о которых была направлена в адрес Главы городского округа Чехов и Председателя Совета депутатов городского округа Чехов, Чеховской городской Прокуратуры и размещена на официальном сайте Контрольно-счетной палаты городского округа Чехов.</w:t>
      </w:r>
    </w:p>
    <w:p w:rsidR="00292FA9" w:rsidRPr="00E56C22" w:rsidRDefault="00292FA9" w:rsidP="00E56C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56C22">
        <w:rPr>
          <w:rFonts w:ascii="Times New Roman" w:eastAsia="Calibri" w:hAnsi="Times New Roman" w:cs="Times New Roman"/>
          <w:sz w:val="28"/>
          <w:szCs w:val="28"/>
          <w:lang w:eastAsia="ru-RU"/>
        </w:rPr>
        <w:t>Одной из первоочередных задач органа внешнего муниципального финансового контроля городского округа Чехов на 2022 год остается контроль за формированием и исполнением бюджета, осуществлением контроля за соблюдением порядка и условий предоставления Учреждениям субсидий на финансовое обеспечение выполнения муниципального задания, а также контроль за соблюдением требований к проведению капитального ремонта, технического переоснащения и благоустройства территорий учреждений образования.</w:t>
      </w:r>
    </w:p>
    <w:p w:rsidR="00292FA9" w:rsidRPr="00E56C22" w:rsidRDefault="00292FA9" w:rsidP="00E56C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Контрольно-счетная палата городского округа Чехов продолжает работу по участию в семинарах (совещаниях) с руководителями проверяемых учреждений, с целью доступности информации о системных нарушениях, выявляемых по результатам контрольной деятельности, разъяснению прав и обязанностей руководителей, направленных на предотвращение и недопущение нарушений в дальнейшем. </w:t>
      </w:r>
    </w:p>
    <w:p w:rsidR="00527BC4" w:rsidRPr="00E56C22" w:rsidRDefault="00527BC4" w:rsidP="00E56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7BC4" w:rsidRPr="00E5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269A"/>
    <w:multiLevelType w:val="multilevel"/>
    <w:tmpl w:val="751879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4D"/>
    <w:rsid w:val="00292FA9"/>
    <w:rsid w:val="0039344D"/>
    <w:rsid w:val="00527BC4"/>
    <w:rsid w:val="00665D95"/>
    <w:rsid w:val="009E0EDF"/>
    <w:rsid w:val="00C552EB"/>
    <w:rsid w:val="00E56C22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3A1D"/>
  <w15:chartTrackingRefBased/>
  <w15:docId w15:val="{CD65D76F-3555-4088-BA62-7A505C6A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ysClr val="windowText" lastClr="000000"/>
                </a:solidFill>
              </a:rPr>
              <a:t>Выявленные нарушения на 01.10.2022 года</a:t>
            </a:r>
          </a:p>
        </c:rich>
      </c:tx>
      <c:layout>
        <c:manualLayout>
          <c:xMode val="edge"/>
          <c:yMode val="edge"/>
          <c:x val="0.13789080747589608"/>
          <c:y val="2.024558487977948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4395224247423349E-2"/>
          <c:y val="0.16625579210006156"/>
          <c:w val="0.93505077498663813"/>
          <c:h val="0.7885382845662810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Лист1!$B$13</c:f>
              <c:strCache>
                <c:ptCount val="1"/>
                <c:pt idx="0">
                  <c:v>Нарушения законодательства в сфере управления и распоряжения государственной (муниципальной) собственностью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5-4BBA-A88F-86AC70D18F8C}"/>
            </c:ext>
          </c:extLst>
        </c:ser>
        <c:ser>
          <c:idx val="2"/>
          <c:order val="1"/>
          <c:tx>
            <c:strRef>
              <c:f>Лист1!$B$14</c:f>
              <c:strCache>
                <c:ptCount val="1"/>
                <c:pt idx="0">
                  <c:v>Нарушение ведения бухгалтерского учета, составления и представления бухгалтерской (финансовой) отчетности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35-4BBA-A88F-86AC70D18F8C}"/>
            </c:ext>
          </c:extLst>
        </c:ser>
        <c:ser>
          <c:idx val="3"/>
          <c:order val="2"/>
          <c:tx>
            <c:strRef>
              <c:f>Лист1!$B$15</c:f>
              <c:strCache>
                <c:ptCount val="1"/>
                <c:pt idx="0">
                  <c:v>Иные нарушения 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Лист1!$C$15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35-4BBA-A88F-86AC70D18F8C}"/>
            </c:ext>
          </c:extLst>
        </c:ser>
        <c:ser>
          <c:idx val="4"/>
          <c:order val="3"/>
          <c:tx>
            <c:strRef>
              <c:f>Лист1!$B$16</c:f>
              <c:strCache>
                <c:ptCount val="1"/>
                <c:pt idx="0">
                  <c:v>Нарушения при осуществлении государственных (муниципальных) закупок и закупок отдельными видами юридических лиц 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Лист1!$C$16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35-4BBA-A88F-86AC70D18F8C}"/>
            </c:ext>
          </c:extLst>
        </c:ser>
        <c:ser>
          <c:idx val="5"/>
          <c:order val="4"/>
          <c:tx>
            <c:strRef>
              <c:f>Лист1!$B$17</c:f>
              <c:strCache>
                <c:ptCount val="1"/>
                <c:pt idx="0">
                  <c:v>Нарушения при формировании и исполнении бюджетов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Лист1!$C$12</c:f>
              <c:strCache>
                <c:ptCount val="1"/>
                <c:pt idx="0">
                  <c:v>количество выявленных нарушений и недостатков</c:v>
                </c:pt>
              </c:strCache>
            </c:strRef>
          </c:cat>
          <c:val>
            <c:numRef>
              <c:f>Лист1!$C$17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35-4BBA-A88F-86AC70D18F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28551120"/>
        <c:axId val="128550464"/>
      </c:barChart>
      <c:catAx>
        <c:axId val="128551120"/>
        <c:scaling>
          <c:orientation val="maxMin"/>
        </c:scaling>
        <c:delete val="1"/>
        <c:axPos val="b"/>
        <c:numFmt formatCode="General" sourceLinked="1"/>
        <c:majorTickMark val="none"/>
        <c:minorTickMark val="none"/>
        <c:tickLblPos val="nextTo"/>
        <c:crossAx val="128550464"/>
        <c:crosses val="autoZero"/>
        <c:auto val="1"/>
        <c:lblAlgn val="ctr"/>
        <c:lblOffset val="100"/>
        <c:noMultiLvlLbl val="0"/>
      </c:catAx>
      <c:valAx>
        <c:axId val="128550464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51120"/>
        <c:crosses val="autoZero"/>
        <c:crossBetween val="between"/>
      </c:valAx>
      <c:spPr>
        <a:noFill/>
        <a:ln>
          <a:solidFill>
            <a:schemeClr val="accent1">
              <a:alpha val="84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2022-11-10T08:06:00Z</dcterms:created>
  <dcterms:modified xsi:type="dcterms:W3CDTF">2022-11-24T12:10:00Z</dcterms:modified>
</cp:coreProperties>
</file>